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4AE1" w:rsidRPr="00554AE1" w:rsidTr="00554AE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 GIAO THÔNG VẬN TẢI</w:t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32/2019/TT-BGTVT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 Nội</w:t>
            </w:r>
            <w:r w:rsidRPr="00554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554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  <w:r w:rsidRPr="00554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554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  <w:r w:rsidRPr="00554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554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2019</w:t>
            </w:r>
          </w:p>
        </w:tc>
      </w:tr>
    </w:tbl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4AE1" w:rsidRPr="00554AE1" w:rsidRDefault="00554AE1" w:rsidP="00554AE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1"/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TƯ</w:t>
      </w:r>
      <w:bookmarkEnd w:id="1"/>
    </w:p>
    <w:p w:rsidR="00554AE1" w:rsidRPr="00554AE1" w:rsidRDefault="00554AE1" w:rsidP="00554AE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loai_1_name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CÔNG BỐ DANH MỤC KHU VỰC HÀNG HẢI THUỘC PHẠM VI QUẢN LÝ CỦA CẢNG VỤ HÀNG HẢI</w:t>
      </w:r>
      <w:bookmarkEnd w:id="2"/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Bộ luật Hàng 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Việt Nam ngày 25 tháng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11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ă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2015;</w:t>
      </w:r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ă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cứ Nghị định s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 1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2/20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7/NĐ-CP ngà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 10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tháng 02 n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ă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20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7 của Ch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í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nh ph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qu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định chức năng, nhiệm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, quy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h</w:t>
      </w:r>
      <w:proofErr w:type="spellStart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ạn</w:t>
      </w:r>
      <w:proofErr w:type="spellEnd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và cơ cấu t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chức c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 Bộ Gia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thông vận t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i;</w:t>
      </w:r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Nghị định s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58/20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7/NĐ-CP ngày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tháng 5 năm 2017 của Chính ph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quy định ch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tiết một s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điều c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 Bộ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Hàng hải Việt Nam về qu</w:t>
      </w:r>
      <w:proofErr w:type="spellStart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ản</w:t>
      </w:r>
      <w:proofErr w:type="spellEnd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lý ho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ạ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 động hàng 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i;</w:t>
      </w:r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Theo đề nghị c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 V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ụ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trư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ở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Vụ Ph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á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 ch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và Cục trư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ở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Cục Hàng 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ải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Việt Nam;</w:t>
      </w:r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Bộ trư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ở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Bộ Gi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 thông vận t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ải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ban hành Thông tư công b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Danh mục khu vực hàng hải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huộc phạm v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qu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lý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của C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vụ hàng 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54AE1" w:rsidRPr="00554AE1" w:rsidRDefault="00554AE1" w:rsidP="00554AE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ieu_1"/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 Phạm vi điều chỉnh và đối tượng áp dụng</w:t>
      </w:r>
      <w:bookmarkEnd w:id="3"/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Thông tư này quy định, về Danh mục khu vực h</w:t>
      </w:r>
      <w:proofErr w:type="spellStart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àng</w:t>
      </w:r>
      <w:proofErr w:type="spellEnd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hải thuộc phạm vi quản lý của Cảng vụ hàng h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i.</w:t>
      </w:r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tư này áp dụng đối với tổ ch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ứ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c, cá nhân Việt Nam và nước ngo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liên quan đến hoạt động c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tàu thuyền trong khu vực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ng hải thuộc phạm </w:t>
      </w:r>
      <w:proofErr w:type="gramStart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</w:t>
      </w:r>
      <w:proofErr w:type="gramEnd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quản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C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ảng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vụ hàng hải.</w:t>
      </w:r>
    </w:p>
    <w:p w:rsidR="00554AE1" w:rsidRPr="00554AE1" w:rsidRDefault="00554AE1" w:rsidP="00554AE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ieu_2"/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 Danh mục khu vực hàng h</w:t>
      </w:r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ải</w:t>
      </w:r>
      <w:bookmarkEnd w:id="4"/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b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Danh mục khu vực hàn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g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hải thuộc phạm vi qu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lý c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 C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vụ hàng hải tại Phụ lục ban hành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kè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 theo Thông tư này.</w:t>
      </w:r>
    </w:p>
    <w:p w:rsidR="00554AE1" w:rsidRPr="00554AE1" w:rsidRDefault="00554AE1" w:rsidP="00554AE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ieu_3"/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 3. Hiệu lực thi hành</w:t>
      </w:r>
      <w:bookmarkEnd w:id="5"/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Thông tư này có hiệu lực kể từ ngày 01 tháng 01 năm 2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20.</w:t>
      </w:r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Bãi bỏ các q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định về Danh mục khu vực hàng hả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i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thuộc phạm vi qu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lý của Cảng vụ hàng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hải </w:t>
      </w:r>
      <w:proofErr w:type="spellStart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tr</w:t>
      </w:r>
      <w:proofErr w:type="spellEnd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ước đây trái với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Thô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tư này.</w:t>
      </w:r>
    </w:p>
    <w:p w:rsidR="00554AE1" w:rsidRPr="00554AE1" w:rsidRDefault="00554AE1" w:rsidP="00554AE1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ieu_4"/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Điều 4. Tổ </w:t>
      </w:r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 thực hiện</w:t>
      </w:r>
      <w:bookmarkEnd w:id="6"/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Chánh V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phòng Bộ, Chánh Tha</w:t>
      </w:r>
      <w:proofErr w:type="spellStart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nh</w:t>
      </w:r>
      <w:proofErr w:type="spellEnd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ra Bộ, các Vụ trưởng, Cục </w:t>
      </w:r>
      <w:proofErr w:type="spellStart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trưở</w:t>
      </w:r>
      <w:proofErr w:type="spellEnd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Cục Hàng h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V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ệ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t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Nam, Cục trư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Cục Đường thủy nội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ịa Việt Nam, Gi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ốc Sở Giao thông vận tải các t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ỉ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nh, thành phố trực thuộc Trung ương, Th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trư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các cơ quan, tổ ch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ứ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 và cá nhân có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ên quan chịu trách nhiệm thi h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Thông tư này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/.</w:t>
      </w:r>
    </w:p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948"/>
      </w:tblGrid>
      <w:tr w:rsidR="00554AE1" w:rsidRPr="00554AE1" w:rsidTr="00554AE1">
        <w:trPr>
          <w:tblCellSpacing w:w="0" w:type="dxa"/>
        </w:trPr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  <w:t>Nơi nhận:</w:t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Điều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Bộ trư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ở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Bộ GTVT;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Văn phòng Chính ph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Các Bộ, 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qua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ngang Bộ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quan thuộc Chính ph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UBND các 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ỉ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nh, thành ph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trực 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ộc TW;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Các Th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 trưởng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Bộ GTVT;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Cục Ki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ra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bản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PPL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Bộ Tư pháp: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Công b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tin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iện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ử Chính ph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iện 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ử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Bộ GTVT;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Báo Giao th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Tạp chí GTVT;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L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ưu: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KT. BỘ TRƯỞNG</w:t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THỨ TRƯỞNG</w:t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Văn Công</w:t>
            </w:r>
          </w:p>
        </w:tc>
      </w:tr>
    </w:tbl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4AE1" w:rsidRPr="00554AE1" w:rsidRDefault="00554AE1" w:rsidP="00554AE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chuong_pl_1"/>
      <w:r w:rsidRPr="0055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</w:t>
      </w:r>
      <w:bookmarkEnd w:id="7"/>
    </w:p>
    <w:p w:rsidR="00554AE1" w:rsidRPr="00554AE1" w:rsidRDefault="00554AE1" w:rsidP="00554AE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chuong_pl_1_name"/>
      <w:r w:rsidRPr="00554AE1">
        <w:rPr>
          <w:rFonts w:ascii="Times New Roman" w:eastAsia="Times New Roman" w:hAnsi="Times New Roman" w:cs="Times New Roman"/>
          <w:color w:val="000000"/>
          <w:sz w:val="28"/>
          <w:szCs w:val="28"/>
        </w:rPr>
        <w:t>DANH MỤC KHU VỰC HÀNG HẢI THUỘC PHẠM VI QUẢN LÝ CỦA CẢNG VỤ HÀNG HẢI</w:t>
      </w:r>
      <w:bookmarkEnd w:id="8"/>
    </w:p>
    <w:p w:rsidR="00554AE1" w:rsidRPr="00554AE1" w:rsidRDefault="00554AE1" w:rsidP="00554AE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(Ban hành kèm </w:t>
      </w:r>
      <w:proofErr w:type="gramStart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gramEnd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Thông tư số 32/2019/TT-BGTVT ngày 04/9/2019 của Bộ trưởng Bộ Giao thông vận tải)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25"/>
        <w:gridCol w:w="5849"/>
      </w:tblGrid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Cảng vụ hàng hải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Khu vực hàng hải thuộc phạm vi quản lý của Cảng vụ hàng hải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Quảng Ninh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ồ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06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Vạn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ia - Hải Hà,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Mũi Chùa,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Cô Tô, khu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ẩ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m Phả - 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Cửa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Hòn Gai và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Quảng Yên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 hải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Hải Phòng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ồ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01 khu vực: khu vực hàng hải Hải Ph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ò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Bình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hàng hải Diêm Điền - 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 Lý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Nam Định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vực hàng hải: khu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Ninh Cơ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hải Thanh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ó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02 khu vực hàng hải: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Lệ Môn và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Ngh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Sơn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Nghệ An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02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hàng hải 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ồi và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Cửa Lò - Bến Thủy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Hà Tĩnh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02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vực hàng hả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ũ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Á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- Sơn Dương và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Nghi Xuân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8.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hải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Bình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02 khu vực hàng hải: khu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hàng hải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òn La và khu vực hàng hải Cửa Gianh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9.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vụ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Qu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Trị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: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Quảng Trị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Thừa Thi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ê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Hu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</w:p>
        </w:tc>
        <w:tc>
          <w:tcPr>
            <w:tcW w:w="3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02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Thuận An và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Chân Mây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11.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 N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ẵ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vực hàng hải: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 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 N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ẵ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ỹ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Khê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12.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 Hàng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ải Qu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Nam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vực hàng hải: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Kỳ Hà - Cù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ao Chàm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13.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Quảng Ng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03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hải: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ý Sơn, khu vực hàng hải Sa K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ỳ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và kh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vực hàng hải Dung Qu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14.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Quy Nhơn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ồ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03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Quy Nhơn, kh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Vũng Rô và khu vực hàng hải vịnh Xuân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ài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15.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 Hàng hải Nha Trang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05 khu vực hàng hải: khu vực hàng hải Nha Trang, khu vực hàng hải Vịnh Vân Phong, khu vực hàng hải Cam Ranh, khu vực hàng hải Trường Sa,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Phan Rang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16.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 Hàng hải Bình Thuận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05 khu vực hàng hải: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Vĩnh Tân - Cà N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khu vực hàng hải Hòa Phú,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Phan Thi</w:t>
            </w:r>
            <w:proofErr w:type="spellStart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ết</w:t>
            </w:r>
            <w:proofErr w:type="spellEnd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khu vực hàng hải Phú Quý,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d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ầ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khí ngoài khơi (bao gồm các 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Hồng Ngọc, 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Sư Tử Đen, 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 Sư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Tử Vàng, mỏ Thăng Long - Đông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ô)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17.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 Hàng hải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ũ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Tàu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03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hàng hải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ũ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Tàu (gồm khu vực s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Thị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i, s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Cái Mép, sông Dinh và vịnh Gành Rái-khu neo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ậu Vũng Tàu), k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vực hàng hải Côn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dầu kh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í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ngoài khơi (bao gồm các mỏ Bạch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 mỏ Rồng, mỏ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ại Hùng, mỏ Rạng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ng, 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Rồng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Đôi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Rồng Đôi </w:t>
            </w:r>
            <w:proofErr w:type="spellStart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</w:t>
            </w:r>
            <w:proofErr w:type="spellEnd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y, mỏ Tê Giác Trắng, 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Chim Sáo, mỏ Lan Tây, mỏ Biển Đông)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18.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ồng Nai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02 khu vực hàng hải: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Thị Vải và khu vực hàng hải Lòng T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- Nhà Bè - Đồng Nai (do 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hải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Nai quản lý)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19.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ụ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Thành ph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ồ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Chí Minh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hải: khu vực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hải Thành phố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ồ Chí 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nh.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20.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 Hàng hải Mỹ Tho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04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hàng hả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Tiền Giang,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Vĩnh Long,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B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Tre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Long An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 Th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Đồng Tháp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22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 Hàng hải An G</w:t>
            </w:r>
            <w:proofErr w:type="spellStart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ian</w:t>
            </w:r>
            <w:proofErr w:type="spellEnd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01 khu vực hàng hải: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Giang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ần Thơ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03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ần Thơ, khu vực hàng hải Trà Vinh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ải </w:t>
            </w:r>
            <w:proofErr w:type="spellStart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</w:t>
            </w:r>
            <w:proofErr w:type="spellEnd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 Tr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Cảng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vụ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Ki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ê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Giang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04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i: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òn Chông - B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ì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 Trị, khu vực hàng hải Hà Ti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ê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Phú Quốc, khu vực hàng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Rạch Giá</w:t>
            </w:r>
          </w:p>
        </w:tc>
      </w:tr>
      <w:tr w:rsidR="00554AE1" w:rsidRPr="00554AE1" w:rsidTr="00554AE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</w:t>
            </w:r>
          </w:p>
        </w:tc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vụ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àng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ải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Cà Mau</w:t>
            </w:r>
          </w:p>
        </w:tc>
        <w:tc>
          <w:tcPr>
            <w:tcW w:w="3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AE1" w:rsidRPr="00554AE1" w:rsidRDefault="00554AE1" w:rsidP="00554AE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Gồm 02 kh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vực hàng hải: khu vực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ả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N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 Căn v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vực hàng hải dầu kh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í </w:t>
            </w:r>
            <w:proofErr w:type="spellStart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proofErr w:type="spellEnd"/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oà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 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khơi m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ỏ</w:t>
            </w:r>
            <w:r w:rsidRPr="00554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Sông Đốc</w:t>
            </w:r>
          </w:p>
        </w:tc>
      </w:tr>
    </w:tbl>
    <w:p w:rsidR="00554AE1" w:rsidRPr="00554AE1" w:rsidRDefault="00554AE1" w:rsidP="00554AE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vi-VN"/>
        </w:rPr>
        <w:t>Ghi ch</w:t>
      </w:r>
      <w:r w:rsidRPr="00554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ú</w:t>
      </w:r>
      <w:r w:rsidRPr="00554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vi-VN"/>
        </w:rPr>
        <w:t>: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đ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ố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i với khu vực B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ạ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ch Long </w:t>
      </w:r>
      <w:proofErr w:type="spellStart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Vỹ</w:t>
      </w:r>
      <w:proofErr w:type="spellEnd"/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(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Phòng), khu vực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ồn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ỏ (Qu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 Trị), khu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vực 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òn Nộ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(Khánh 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ò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a), khu vực Nam Du (Kiên Giang) thực hiện theo quy định của pháp luật về tuy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ế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 vận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ải th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y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ừ bờ ra đ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o trong vùng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biển </w:t>
      </w:r>
      <w:r w:rsidRPr="00554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Việt Nam.</w:t>
      </w:r>
    </w:p>
    <w:bookmarkEnd w:id="0"/>
    <w:p w:rsidR="00EE3E69" w:rsidRPr="00554AE1" w:rsidRDefault="00EE3E69">
      <w:pPr>
        <w:rPr>
          <w:rFonts w:ascii="Times New Roman" w:hAnsi="Times New Roman" w:cs="Times New Roman"/>
          <w:sz w:val="28"/>
          <w:szCs w:val="28"/>
        </w:rPr>
      </w:pPr>
    </w:p>
    <w:sectPr w:rsidR="00EE3E69" w:rsidRPr="0055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0"/>
    <w:rsid w:val="00232C30"/>
    <w:rsid w:val="00554AE1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25DF6-24D1-459F-9FA4-718A371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2020-12-01T03:06:00Z</dcterms:created>
  <dcterms:modified xsi:type="dcterms:W3CDTF">2020-12-01T03:06:00Z</dcterms:modified>
</cp:coreProperties>
</file>