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B4F44" w:rsidRPr="000B4F44" w:rsidTr="000B4F44">
        <w:trPr>
          <w:tblCellSpacing w:w="0" w:type="dxa"/>
        </w:trPr>
        <w:tc>
          <w:tcPr>
            <w:tcW w:w="3348" w:type="dxa"/>
            <w:tcMar>
              <w:top w:w="0" w:type="dxa"/>
              <w:left w:w="108" w:type="dxa"/>
              <w:bottom w:w="0" w:type="dxa"/>
              <w:right w:w="108" w:type="dxa"/>
            </w:tcMar>
            <w:hideMark/>
          </w:tcPr>
          <w:p w:rsidR="000B4F44" w:rsidRPr="000B4F44" w:rsidRDefault="000B4F44" w:rsidP="000B4F44">
            <w:pPr>
              <w:spacing w:line="234" w:lineRule="atLeast"/>
              <w:jc w:val="center"/>
              <w:rPr>
                <w:rFonts w:eastAsia="Times New Roman" w:cs="Times New Roman"/>
                <w:sz w:val="24"/>
                <w:szCs w:val="24"/>
              </w:rPr>
            </w:pPr>
            <w:bookmarkStart w:id="0" w:name="_GoBack"/>
            <w:r w:rsidRPr="000B4F44">
              <w:rPr>
                <w:rFonts w:eastAsia="Times New Roman" w:cs="Times New Roman"/>
                <w:b/>
                <w:bCs/>
                <w:sz w:val="24"/>
                <w:szCs w:val="24"/>
                <w:lang w:val="vi-VN"/>
              </w:rPr>
              <w:t>CHÍNH PHỦ</w:t>
            </w:r>
            <w:r w:rsidRPr="000B4F44">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sz w:val="24"/>
                <w:szCs w:val="24"/>
                <w:lang w:val="vi-VN"/>
              </w:rPr>
              <w:t>CỘNG HÒA XÃ HỘI CHỦ NGHĨA VIỆT NAM</w:t>
            </w:r>
            <w:r w:rsidRPr="000B4F44">
              <w:rPr>
                <w:rFonts w:eastAsia="Times New Roman" w:cs="Times New Roman"/>
                <w:b/>
                <w:bCs/>
                <w:sz w:val="24"/>
                <w:szCs w:val="24"/>
                <w:lang w:val="vi-VN"/>
              </w:rPr>
              <w:br/>
              <w:t>Độc lập - Tự do - Hạnh phúc</w:t>
            </w:r>
            <w:r w:rsidRPr="000B4F44">
              <w:rPr>
                <w:rFonts w:eastAsia="Times New Roman" w:cs="Times New Roman"/>
                <w:b/>
                <w:bCs/>
                <w:sz w:val="24"/>
                <w:szCs w:val="24"/>
                <w:lang w:val="vi-VN"/>
              </w:rPr>
              <w:br/>
              <w:t>---------------</w:t>
            </w:r>
          </w:p>
        </w:tc>
      </w:tr>
      <w:bookmarkEnd w:id="0"/>
      <w:tr w:rsidR="000B4F44" w:rsidRPr="000B4F44" w:rsidTr="000B4F44">
        <w:trPr>
          <w:tblCellSpacing w:w="0" w:type="dxa"/>
        </w:trPr>
        <w:tc>
          <w:tcPr>
            <w:tcW w:w="3348" w:type="dxa"/>
            <w:tcMar>
              <w:top w:w="0" w:type="dxa"/>
              <w:left w:w="108" w:type="dxa"/>
              <w:bottom w:w="0" w:type="dxa"/>
              <w:right w:w="108" w:type="dxa"/>
            </w:tcMa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sz w:val="24"/>
                <w:szCs w:val="24"/>
                <w:lang w:val="vi-VN"/>
              </w:rPr>
              <w:t>Số: 76/2021/NĐ-CP</w:t>
            </w:r>
          </w:p>
        </w:tc>
        <w:tc>
          <w:tcPr>
            <w:tcW w:w="5508" w:type="dxa"/>
            <w:tcMar>
              <w:top w:w="0" w:type="dxa"/>
              <w:left w:w="108" w:type="dxa"/>
              <w:bottom w:w="0" w:type="dxa"/>
              <w:right w:w="108" w:type="dxa"/>
            </w:tcMar>
            <w:hideMark/>
          </w:tcPr>
          <w:p w:rsidR="000B4F44" w:rsidRPr="000B4F44" w:rsidRDefault="000B4F44" w:rsidP="000B4F44">
            <w:pPr>
              <w:spacing w:line="234" w:lineRule="atLeast"/>
              <w:jc w:val="right"/>
              <w:rPr>
                <w:rFonts w:eastAsia="Times New Roman" w:cs="Times New Roman"/>
                <w:sz w:val="24"/>
                <w:szCs w:val="24"/>
              </w:rPr>
            </w:pPr>
            <w:r w:rsidRPr="000B4F44">
              <w:rPr>
                <w:rFonts w:eastAsia="Times New Roman" w:cs="Times New Roman"/>
                <w:i/>
                <w:iCs/>
                <w:sz w:val="24"/>
                <w:szCs w:val="24"/>
                <w:lang w:val="vi-VN"/>
              </w:rPr>
              <w:t>Hà Nội, ngày 28 tháng 7 năm 2021</w:t>
            </w:r>
          </w:p>
        </w:tc>
      </w:tr>
    </w:tbl>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rPr>
        <w:t> </w:t>
      </w:r>
    </w:p>
    <w:p w:rsidR="000B4F44" w:rsidRPr="000B4F44" w:rsidRDefault="000B4F44" w:rsidP="000B4F44">
      <w:pPr>
        <w:shd w:val="clear" w:color="auto" w:fill="FFFFFF"/>
        <w:spacing w:before="0" w:after="0" w:line="234" w:lineRule="atLeast"/>
        <w:jc w:val="center"/>
        <w:rPr>
          <w:rFonts w:eastAsia="Times New Roman" w:cs="Times New Roman"/>
          <w:color w:val="000000"/>
          <w:sz w:val="24"/>
          <w:szCs w:val="24"/>
        </w:rPr>
      </w:pPr>
      <w:bookmarkStart w:id="1" w:name="loai_1"/>
      <w:r w:rsidRPr="000B4F44">
        <w:rPr>
          <w:rFonts w:eastAsia="Times New Roman" w:cs="Times New Roman"/>
          <w:b/>
          <w:bCs/>
          <w:color w:val="000000"/>
          <w:sz w:val="24"/>
          <w:szCs w:val="24"/>
          <w:lang w:val="vi-VN"/>
        </w:rPr>
        <w:t>NGHỊ ĐỊNH</w:t>
      </w:r>
      <w:bookmarkEnd w:id="1"/>
    </w:p>
    <w:p w:rsidR="000B4F44" w:rsidRPr="000B4F44" w:rsidRDefault="000B4F44" w:rsidP="000B4F44">
      <w:pPr>
        <w:shd w:val="clear" w:color="auto" w:fill="FFFFFF"/>
        <w:spacing w:before="0" w:after="0" w:line="234" w:lineRule="atLeast"/>
        <w:jc w:val="center"/>
        <w:rPr>
          <w:rFonts w:eastAsia="Times New Roman" w:cs="Times New Roman"/>
          <w:color w:val="000000"/>
          <w:sz w:val="24"/>
          <w:szCs w:val="24"/>
        </w:rPr>
      </w:pPr>
      <w:bookmarkStart w:id="2" w:name="loai_1_name"/>
      <w:r w:rsidRPr="000B4F44">
        <w:rPr>
          <w:rFonts w:eastAsia="Times New Roman" w:cs="Times New Roman"/>
          <w:color w:val="000000"/>
          <w:sz w:val="24"/>
          <w:szCs w:val="24"/>
          <w:lang w:val="vi-VN"/>
        </w:rPr>
        <w:t>QUY ĐỊNH TIÊU CHÍ PHÂN LOẠI CẢNG BIỂN</w:t>
      </w:r>
      <w:bookmarkEnd w:id="2"/>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i/>
          <w:iCs/>
          <w:color w:val="000000"/>
          <w:sz w:val="24"/>
          <w:szCs w:val="24"/>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i/>
          <w:iCs/>
          <w:color w:val="000000"/>
          <w:sz w:val="24"/>
          <w:szCs w:val="24"/>
          <w:lang w:val="vi-VN"/>
        </w:rPr>
        <w:t>Căn cứ Bộ luật Hàng hải Việt Nam ngày 25 tháng 11 năm 2015;</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i/>
          <w:iCs/>
          <w:color w:val="000000"/>
          <w:sz w:val="24"/>
          <w:szCs w:val="24"/>
          <w:lang w:val="vi-VN"/>
        </w:rPr>
        <w:t>Theo đề nghị của Bộ trưởng Bộ Giao thông vận tải;</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i/>
          <w:iCs/>
          <w:color w:val="000000"/>
          <w:sz w:val="24"/>
          <w:szCs w:val="24"/>
          <w:lang w:val="vi-VN"/>
        </w:rPr>
        <w:t>Chính phủ ban hành Nghị định quy định tiêu chí phân loại cảng biển Việt Nam.</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3" w:name="dieu_1"/>
      <w:r w:rsidRPr="000B4F44">
        <w:rPr>
          <w:rFonts w:eastAsia="Times New Roman" w:cs="Times New Roman"/>
          <w:b/>
          <w:bCs/>
          <w:color w:val="000000"/>
          <w:sz w:val="24"/>
          <w:szCs w:val="24"/>
          <w:lang w:val="vi-VN"/>
        </w:rPr>
        <w:t>Điều 1. Phạm vi điều chỉnh</w:t>
      </w:r>
      <w:bookmarkEnd w:id="3"/>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Nghị định này quy định về tiêu chí, quy trình đánh giá, phân loại cảng biển Việt Nam.</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4" w:name="dieu_2"/>
      <w:r w:rsidRPr="000B4F44">
        <w:rPr>
          <w:rFonts w:eastAsia="Times New Roman" w:cs="Times New Roman"/>
          <w:b/>
          <w:bCs/>
          <w:color w:val="000000"/>
          <w:sz w:val="24"/>
          <w:szCs w:val="24"/>
          <w:lang w:val="vi-VN"/>
        </w:rPr>
        <w:t>Điều 2. Đối tượng áp dụng</w:t>
      </w:r>
      <w:bookmarkEnd w:id="4"/>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Nghị định này áp dụng đối với cơ quan, tổ chức, cá nhân liên quan đến quy hoạch, đầu tư xây dựng, quản lý, khai thác sử dụng cảng biển Việt Nam.</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5" w:name="dieu_3"/>
      <w:r w:rsidRPr="000B4F44">
        <w:rPr>
          <w:rFonts w:eastAsia="Times New Roman" w:cs="Times New Roman"/>
          <w:b/>
          <w:bCs/>
          <w:color w:val="000000"/>
          <w:sz w:val="24"/>
          <w:szCs w:val="24"/>
          <w:lang w:val="vi-VN"/>
        </w:rPr>
        <w:t>Điều 3. Tiêu chí phân loại cảng biển</w:t>
      </w:r>
      <w:bookmarkEnd w:id="5"/>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1. Tiêu chí để đánh giá, phân loại các cảng biển tại Việt Nam, gồm: tiêu chí về phạm vi ảnh hưởng của cảng biển và tiêu chí về quy mô của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2. Tiêu chí về phạm vi ảnh hưởng của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Tiêu chí về phạm vi ảnh hưởng của cảng biển được đánh giá trên cơ sở quy hoạch tổng thể phát triển hệ thống cảng biển được cơ quan nhà nước có thẩm quyền phê duyệt, qua các chỉ tiêu sau:</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a) Cảng biển phục vụ cho việc phát triển kinh tế - xã hội của cả nước hoặc liên vùng và có chức năng trung chuyển quốc tế hoặc cảng cửa ngõ quốc tế;</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b) Cảng biển phục vụ cho việc phát triển kinh tế - xã hội của cả nước hoặc liên vùng;</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c) Cảng biển phục vụ cho việc phát triển kinh tế - xã hội của vùng;</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d) Cảng biển phục vụ cho việc phát triển kinh tế - xã hội của địa phương.</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3. Tiêu chí về quy mô của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Tiêu chí về quy mô của cảng biển được đánh giá trên cơ sở sản lượng hàng hóa thông qua và cỡ trọng tải tàu được tiếp nhận tại cảng biển, thông qua các chỉ tiêu sau:</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a) Sản lượng hàng hóa thông qua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b) Cỡ trọng tải tàu tiếp nhận tại cảng biển.</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6" w:name="dieu_4"/>
      <w:r w:rsidRPr="000B4F44">
        <w:rPr>
          <w:rFonts w:eastAsia="Times New Roman" w:cs="Times New Roman"/>
          <w:b/>
          <w:bCs/>
          <w:color w:val="000000"/>
          <w:sz w:val="24"/>
          <w:szCs w:val="24"/>
          <w:lang w:val="vi-VN"/>
        </w:rPr>
        <w:t>Điều 4. Phương pháp đánh giá, phân loại cảng biển</w:t>
      </w:r>
      <w:bookmarkEnd w:id="6"/>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1. Việc đánh giá, phân loại cảng biển theo phương thức chấm điểm. Thang điểm đánh giá là 100 điểm. Thang điểm đánh giá được xác định cụ thể đối với từng tiêu chí và thể hiện chi tiết tại Phụ lục ban hành kèm theo Nghị định này.</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2. Cảng biển được đánh giá và phân thành 04 loại</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lastRenderedPageBreak/>
        <w:t>a) Cảng biển đặc biệt: có tổng số điểm chấm đạt trên 90 điểm;</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b) Cảng biển loại I: có tổng số điểm chấm đạt trên 70 điểm đến 90 điểm;</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c) Cảng biển loại II: có tổng số điểm chấm đạt từ 50 điểm đến 70 điểm;</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d) Cảng biển loại III: có tổng số điểm chấm dưới 50 điểm.</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3. Căn cứ để đánh giá, phân loại hiện trạng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a) Số liệu về phạm vi ảnh hưởng của cảng biển được căn cứ theo quy hoạch tổng thể phát triển hệ thống cảng biển được cơ quan nhà nước có thẩm quyền phê duyệt;</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b) Số liệu về quy mô của cảng biển sử dụng số liệu thống kê hàng hóa thông qua cảng biển trung bình trong 03 năm gần nhất của Cục Hàng hải Việt Nam và sử dụng số liệu về cỡ trọng tải tàu tiếp nhận tại cảng biển theo các quyết định công bố mở bến cảng, cầu cảng của Cục Hàng hải Việt Nam trong năm gần nhất.</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4. Việc phân loại cảng biển khi lập quy hoạch hoặc điều chỉnh quy hoạch cảng biển phải căn cứ vào số liệu về hàng hóa, cỡ trọng tải tàu dự kiến từng thời kỳ quy hoạch và các tiêu chí quy định tại Nghị định này.</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7" w:name="dieu_5"/>
      <w:r w:rsidRPr="000B4F44">
        <w:rPr>
          <w:rFonts w:eastAsia="Times New Roman" w:cs="Times New Roman"/>
          <w:b/>
          <w:bCs/>
          <w:color w:val="000000"/>
          <w:sz w:val="24"/>
          <w:szCs w:val="24"/>
          <w:lang w:val="vi-VN"/>
        </w:rPr>
        <w:t>Điều 5. Quy trình đánh giá, phân loại cảng biển</w:t>
      </w:r>
      <w:bookmarkEnd w:id="7"/>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1. Cục Hàng hải Việt Nam định kỳ 05 năm một lần vào tháng 01 của năm đầu tiên hoặc căn cứ tình hình phát triển thực tế tại cảng biển lập danh mục cảng biển, đánh giá, phân loại cảng biển trình Bộ Giao thông vận tải.</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Hồ sơ trình gồm:</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a) Tờ trình đề nghị xếp loại cảng biển và công bố danh mục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b) Dự thảo Quyết định công bố danh mục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c) Các tài liệu liên quan.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2. Bộ Giao thông vận tải trên cơ sở báo cáo của Cục Hàng hải Việt Nam, lấy ý kiến các Bộ, Ủy ban nhân dân tỉnh, thành phố trực thuộc trung ương và cơ quan có liên quan, tổ chức thẩm định, trình Thủ tướng Chính phủ quyết định xếp loại cảng biển và công bố danh mục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Hồ sơ trình gồm:</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a) Tờ trình Thủ tướng Chính phủ xếp loại cảng biển và công bố danh mục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b) Báo cáo thẩm định của Bộ Giao thông vận tải;</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c) Dự thảo Quyết định của Thủ tướng Chính phủ công bố danh mục cảng biển;</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d) Các tài liệu liên quan.</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8" w:name="dieu_6"/>
      <w:r w:rsidRPr="000B4F44">
        <w:rPr>
          <w:rFonts w:eastAsia="Times New Roman" w:cs="Times New Roman"/>
          <w:b/>
          <w:bCs/>
          <w:color w:val="000000"/>
          <w:sz w:val="24"/>
          <w:szCs w:val="24"/>
          <w:lang w:val="vi-VN"/>
        </w:rPr>
        <w:t>Điều 6. Hiệu lực thi hành</w:t>
      </w:r>
      <w:bookmarkEnd w:id="8"/>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t>1. Nghị định này có hiệu lực từ ngày 10 tháng 9 năm 2021.</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9" w:name="khoan_2"/>
      <w:r w:rsidRPr="000B4F44">
        <w:rPr>
          <w:rFonts w:eastAsia="Times New Roman" w:cs="Times New Roman"/>
          <w:color w:val="000000"/>
          <w:sz w:val="24"/>
          <w:szCs w:val="24"/>
          <w:lang w:val="vi-VN"/>
        </w:rPr>
        <w:t>2. Bãi bỏ</w:t>
      </w:r>
      <w:bookmarkEnd w:id="9"/>
      <w:r w:rsidRPr="000B4F44">
        <w:rPr>
          <w:rFonts w:eastAsia="Times New Roman" w:cs="Times New Roman"/>
          <w:color w:val="000000"/>
          <w:sz w:val="24"/>
          <w:szCs w:val="24"/>
          <w:lang w:val="vi-VN"/>
        </w:rPr>
        <w:t> </w:t>
      </w:r>
      <w:bookmarkStart w:id="10" w:name="dc_1"/>
      <w:r w:rsidRPr="000B4F44">
        <w:rPr>
          <w:rFonts w:eastAsia="Times New Roman" w:cs="Times New Roman"/>
          <w:color w:val="000000"/>
          <w:sz w:val="24"/>
          <w:szCs w:val="24"/>
          <w:lang w:val="vi-VN"/>
        </w:rPr>
        <w:t>khoản 1 Điều 20 Nghị định số 58/2017/NĐ-CP</w:t>
      </w:r>
      <w:bookmarkEnd w:id="10"/>
      <w:r w:rsidRPr="000B4F44">
        <w:rPr>
          <w:rFonts w:eastAsia="Times New Roman" w:cs="Times New Roman"/>
          <w:color w:val="000000"/>
          <w:sz w:val="24"/>
          <w:szCs w:val="24"/>
          <w:lang w:val="vi-VN"/>
        </w:rPr>
        <w:t> </w:t>
      </w:r>
      <w:bookmarkStart w:id="11" w:name="khoan_2_name"/>
      <w:r w:rsidRPr="000B4F44">
        <w:rPr>
          <w:rFonts w:eastAsia="Times New Roman" w:cs="Times New Roman"/>
          <w:color w:val="000000"/>
          <w:sz w:val="24"/>
          <w:szCs w:val="24"/>
          <w:lang w:val="vi-VN"/>
        </w:rPr>
        <w:t>ngày 10 tháng 5 năm 2017 của Chính phủ quy định chi tiết một số điều của Bộ luật Hàng hải Việt Nam về quản lý hoạt động hàng hải.</w:t>
      </w:r>
      <w:bookmarkEnd w:id="11"/>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r w:rsidRPr="000B4F44">
        <w:rPr>
          <w:rFonts w:eastAsia="Times New Roman" w:cs="Times New Roman"/>
          <w:color w:val="000000"/>
          <w:sz w:val="24"/>
          <w:szCs w:val="24"/>
          <w:lang w:val="vi-VN"/>
        </w:rPr>
        <w:t>3. Quyết định số </w:t>
      </w:r>
      <w:hyperlink r:id="rId6" w:tgtFrame="_blank" w:tooltip="Quyết định 70/2013/QĐ-TTg" w:history="1">
        <w:r w:rsidRPr="000B4F44">
          <w:rPr>
            <w:rFonts w:eastAsia="Times New Roman" w:cs="Times New Roman"/>
            <w:color w:val="0E70C3"/>
            <w:sz w:val="24"/>
            <w:szCs w:val="24"/>
            <w:lang w:val="vi-VN"/>
          </w:rPr>
          <w:t>70/2013/QĐ-TTg</w:t>
        </w:r>
      </w:hyperlink>
      <w:r w:rsidRPr="000B4F44">
        <w:rPr>
          <w:rFonts w:eastAsia="Times New Roman" w:cs="Times New Roman"/>
          <w:color w:val="000000"/>
          <w:sz w:val="24"/>
          <w:szCs w:val="24"/>
          <w:lang w:val="vi-VN"/>
        </w:rPr>
        <w:t> ngày 19 tháng 11 năm 2013 của Thủ tướng Chính phủ về công bố Danh mục phân loại cảng biển Việt Nam hết hiệu lực kể từ ngày Nghị định này có hiệu lực.</w:t>
      </w:r>
    </w:p>
    <w:p w:rsidR="000B4F44" w:rsidRPr="000B4F44" w:rsidRDefault="000B4F44" w:rsidP="000B4F44">
      <w:pPr>
        <w:shd w:val="clear" w:color="auto" w:fill="FFFFFF"/>
        <w:spacing w:before="0" w:after="0" w:line="234" w:lineRule="atLeast"/>
        <w:rPr>
          <w:rFonts w:eastAsia="Times New Roman" w:cs="Times New Roman"/>
          <w:color w:val="000000"/>
          <w:sz w:val="24"/>
          <w:szCs w:val="24"/>
        </w:rPr>
      </w:pPr>
      <w:bookmarkStart w:id="12" w:name="dieu_7"/>
      <w:r w:rsidRPr="000B4F44">
        <w:rPr>
          <w:rFonts w:eastAsia="Times New Roman" w:cs="Times New Roman"/>
          <w:b/>
          <w:bCs/>
          <w:color w:val="000000"/>
          <w:sz w:val="24"/>
          <w:szCs w:val="24"/>
          <w:lang w:val="vi-VN"/>
        </w:rPr>
        <w:t>Điều 7. Trách nhiệm thi hành</w:t>
      </w:r>
      <w:bookmarkEnd w:id="12"/>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lang w:val="vi-VN"/>
        </w:rPr>
        <w:lastRenderedPageBreak/>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0B4F44" w:rsidRPr="000B4F44" w:rsidTr="000B4F44">
        <w:trPr>
          <w:tblCellSpacing w:w="0" w:type="dxa"/>
        </w:trPr>
        <w:tc>
          <w:tcPr>
            <w:tcW w:w="4908" w:type="dxa"/>
            <w:tcMar>
              <w:top w:w="0" w:type="dxa"/>
              <w:left w:w="108" w:type="dxa"/>
              <w:bottom w:w="0" w:type="dxa"/>
              <w:right w:w="108" w:type="dxa"/>
            </w:tcMa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i/>
                <w:iCs/>
                <w:sz w:val="24"/>
                <w:szCs w:val="24"/>
                <w:lang w:val="vi-VN"/>
              </w:rPr>
              <w:br/>
              <w:t>Nơi nhận:</w:t>
            </w:r>
            <w:r w:rsidRPr="000B4F44">
              <w:rPr>
                <w:rFonts w:eastAsia="Times New Roman" w:cs="Times New Roman"/>
                <w:b/>
                <w:bCs/>
                <w:i/>
                <w:iCs/>
                <w:sz w:val="24"/>
                <w:szCs w:val="24"/>
                <w:lang w:val="vi-VN"/>
              </w:rPr>
              <w:br/>
            </w:r>
            <w:r w:rsidRPr="000B4F44">
              <w:rPr>
                <w:rFonts w:eastAsia="Times New Roman" w:cs="Times New Roman"/>
                <w:sz w:val="24"/>
                <w:szCs w:val="24"/>
                <w:lang w:val="vi-VN"/>
              </w:rPr>
              <w:t>- Ban Bí thư Trung ương Đảng;</w:t>
            </w:r>
            <w:r w:rsidRPr="000B4F44">
              <w:rPr>
                <w:rFonts w:eastAsia="Times New Roman" w:cs="Times New Roman"/>
                <w:sz w:val="24"/>
                <w:szCs w:val="24"/>
                <w:lang w:val="vi-VN"/>
              </w:rPr>
              <w:br/>
              <w:t>- Thủ tướng, các Phó Thủ tướng Chính phủ;</w:t>
            </w:r>
            <w:r w:rsidRPr="000B4F44">
              <w:rPr>
                <w:rFonts w:eastAsia="Times New Roman" w:cs="Times New Roman"/>
                <w:sz w:val="24"/>
                <w:szCs w:val="24"/>
                <w:lang w:val="vi-VN"/>
              </w:rPr>
              <w:br/>
              <w:t>- Các bộ, cơ quan ngang bộ, cơ quan thuộc Chính phủ;</w:t>
            </w:r>
            <w:r w:rsidRPr="000B4F44">
              <w:rPr>
                <w:rFonts w:eastAsia="Times New Roman" w:cs="Times New Roman"/>
                <w:sz w:val="24"/>
                <w:szCs w:val="24"/>
                <w:lang w:val="vi-VN"/>
              </w:rPr>
              <w:br/>
              <w:t>- HĐND, UBND các tỉnh, thành phố trực thuộc trung ương;</w:t>
            </w:r>
            <w:r w:rsidRPr="000B4F44">
              <w:rPr>
                <w:rFonts w:eastAsia="Times New Roman" w:cs="Times New Roman"/>
                <w:sz w:val="24"/>
                <w:szCs w:val="24"/>
                <w:lang w:val="vi-VN"/>
              </w:rPr>
              <w:br/>
              <w:t>- Văn phòng Trung ương và các Ban của Đảng;</w:t>
            </w:r>
            <w:r w:rsidRPr="000B4F44">
              <w:rPr>
                <w:rFonts w:eastAsia="Times New Roman" w:cs="Times New Roman"/>
                <w:sz w:val="24"/>
                <w:szCs w:val="24"/>
                <w:lang w:val="vi-VN"/>
              </w:rPr>
              <w:br/>
              <w:t>- Văn phòng Tổng Bí thư;</w:t>
            </w:r>
            <w:r w:rsidRPr="000B4F44">
              <w:rPr>
                <w:rFonts w:eastAsia="Times New Roman" w:cs="Times New Roman"/>
                <w:sz w:val="24"/>
                <w:szCs w:val="24"/>
                <w:lang w:val="vi-VN"/>
              </w:rPr>
              <w:br/>
              <w:t>- Văn phòng Chủ tịch nước;</w:t>
            </w:r>
            <w:r w:rsidRPr="000B4F44">
              <w:rPr>
                <w:rFonts w:eastAsia="Times New Roman" w:cs="Times New Roman"/>
                <w:sz w:val="24"/>
                <w:szCs w:val="24"/>
                <w:lang w:val="vi-VN"/>
              </w:rPr>
              <w:br/>
              <w:t>- Hội đồng Dân tộc và các Ủy ban của Quốc hội;</w:t>
            </w:r>
            <w:r w:rsidRPr="000B4F44">
              <w:rPr>
                <w:rFonts w:eastAsia="Times New Roman" w:cs="Times New Roman"/>
                <w:sz w:val="24"/>
                <w:szCs w:val="24"/>
                <w:lang w:val="vi-VN"/>
              </w:rPr>
              <w:br/>
              <w:t>- Văn phòng Quốc hội;</w:t>
            </w:r>
            <w:r w:rsidRPr="000B4F44">
              <w:rPr>
                <w:rFonts w:eastAsia="Times New Roman" w:cs="Times New Roman"/>
                <w:sz w:val="24"/>
                <w:szCs w:val="24"/>
                <w:lang w:val="vi-VN"/>
              </w:rPr>
              <w:br/>
              <w:t>- Tòa án nhân dân tối cao;</w:t>
            </w:r>
            <w:r w:rsidRPr="000B4F44">
              <w:rPr>
                <w:rFonts w:eastAsia="Times New Roman" w:cs="Times New Roman"/>
                <w:sz w:val="24"/>
                <w:szCs w:val="24"/>
                <w:lang w:val="vi-VN"/>
              </w:rPr>
              <w:br/>
              <w:t>- Viện kiểm sát nhân dân tối cao;</w:t>
            </w:r>
            <w:r w:rsidRPr="000B4F44">
              <w:rPr>
                <w:rFonts w:eastAsia="Times New Roman" w:cs="Times New Roman"/>
                <w:sz w:val="24"/>
                <w:szCs w:val="24"/>
                <w:lang w:val="vi-VN"/>
              </w:rPr>
              <w:br/>
              <w:t>- Ki</w:t>
            </w:r>
            <w:r w:rsidRPr="000B4F44">
              <w:rPr>
                <w:rFonts w:eastAsia="Times New Roman" w:cs="Times New Roman"/>
                <w:sz w:val="24"/>
                <w:szCs w:val="24"/>
              </w:rPr>
              <w:t>ể</w:t>
            </w:r>
            <w:r w:rsidRPr="000B4F44">
              <w:rPr>
                <w:rFonts w:eastAsia="Times New Roman" w:cs="Times New Roman"/>
                <w:sz w:val="24"/>
                <w:szCs w:val="24"/>
                <w:lang w:val="vi-VN"/>
              </w:rPr>
              <w:t>m toán nhà nước;</w:t>
            </w:r>
            <w:r w:rsidRPr="000B4F44">
              <w:rPr>
                <w:rFonts w:eastAsia="Times New Roman" w:cs="Times New Roman"/>
                <w:sz w:val="24"/>
                <w:szCs w:val="24"/>
                <w:lang w:val="vi-VN"/>
              </w:rPr>
              <w:br/>
              <w:t>- Ủy ban Giám sát tài chính Quốc gia;</w:t>
            </w:r>
            <w:r w:rsidRPr="000B4F44">
              <w:rPr>
                <w:rFonts w:eastAsia="Times New Roman" w:cs="Times New Roman"/>
                <w:sz w:val="24"/>
                <w:szCs w:val="24"/>
                <w:lang w:val="vi-VN"/>
              </w:rPr>
              <w:br/>
              <w:t>- Ngân hàng Chính sách xã hội;</w:t>
            </w:r>
            <w:r w:rsidRPr="000B4F44">
              <w:rPr>
                <w:rFonts w:eastAsia="Times New Roman" w:cs="Times New Roman"/>
                <w:sz w:val="24"/>
                <w:szCs w:val="24"/>
                <w:lang w:val="vi-VN"/>
              </w:rPr>
              <w:br/>
              <w:t>- Ngân hàng Phát triển Việt Nam;</w:t>
            </w:r>
            <w:r w:rsidRPr="000B4F44">
              <w:rPr>
                <w:rFonts w:eastAsia="Times New Roman" w:cs="Times New Roman"/>
                <w:sz w:val="24"/>
                <w:szCs w:val="24"/>
                <w:lang w:val="vi-VN"/>
              </w:rPr>
              <w:br/>
              <w:t>- Ủy ban trung ương Mặt </w:t>
            </w:r>
            <w:r w:rsidRPr="000B4F44">
              <w:rPr>
                <w:rFonts w:eastAsia="Times New Roman" w:cs="Times New Roman"/>
                <w:sz w:val="24"/>
                <w:szCs w:val="24"/>
              </w:rPr>
              <w:t>tr</w:t>
            </w:r>
            <w:r w:rsidRPr="000B4F44">
              <w:rPr>
                <w:rFonts w:eastAsia="Times New Roman" w:cs="Times New Roman"/>
                <w:sz w:val="24"/>
                <w:szCs w:val="24"/>
                <w:lang w:val="vi-VN"/>
              </w:rPr>
              <w:t>ận Tổ quốc Việt Nam;</w:t>
            </w:r>
            <w:r w:rsidRPr="000B4F44">
              <w:rPr>
                <w:rFonts w:eastAsia="Times New Roman" w:cs="Times New Roman"/>
                <w:sz w:val="24"/>
                <w:szCs w:val="24"/>
                <w:lang w:val="vi-VN"/>
              </w:rPr>
              <w:br/>
              <w:t>- Cơ quan trung ương của các đoàn thể;</w:t>
            </w:r>
            <w:r w:rsidRPr="000B4F44">
              <w:rPr>
                <w:rFonts w:eastAsia="Times New Roman" w:cs="Times New Roman"/>
                <w:sz w:val="24"/>
                <w:szCs w:val="24"/>
                <w:lang w:val="vi-VN"/>
              </w:rPr>
              <w:br/>
              <w:t>- Cục Hàng hải Việt Nam;</w:t>
            </w:r>
            <w:r w:rsidRPr="000B4F44">
              <w:rPr>
                <w:rFonts w:eastAsia="Times New Roman" w:cs="Times New Roman"/>
                <w:sz w:val="24"/>
                <w:szCs w:val="24"/>
                <w:lang w:val="vi-VN"/>
              </w:rPr>
              <w:br/>
              <w:t>- VPCP: BTCN, các PCN, Trợ lý TTg, TGĐ Cổng TTĐT, các Vụ, Cục, đơn vị trực thuộc, Công báo;</w:t>
            </w:r>
            <w:r w:rsidRPr="000B4F44">
              <w:rPr>
                <w:rFonts w:eastAsia="Times New Roman" w:cs="Times New Roman"/>
                <w:sz w:val="24"/>
                <w:szCs w:val="24"/>
                <w:lang w:val="vi-VN"/>
              </w:rPr>
              <w:br/>
              <w:t>- Lưu: VT, CN (2b).</w:t>
            </w:r>
          </w:p>
        </w:tc>
        <w:tc>
          <w:tcPr>
            <w:tcW w:w="3948" w:type="dxa"/>
            <w:tcMar>
              <w:top w:w="0" w:type="dxa"/>
              <w:left w:w="108" w:type="dxa"/>
              <w:bottom w:w="0" w:type="dxa"/>
              <w:right w:w="108" w:type="dxa"/>
            </w:tcMa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sz w:val="24"/>
                <w:szCs w:val="24"/>
                <w:lang w:val="vi-VN"/>
              </w:rPr>
              <w:t>TM. CHÍNH PHỦ</w:t>
            </w:r>
            <w:r w:rsidRPr="000B4F44">
              <w:rPr>
                <w:rFonts w:eastAsia="Times New Roman" w:cs="Times New Roman"/>
                <w:b/>
                <w:bCs/>
                <w:sz w:val="24"/>
                <w:szCs w:val="24"/>
                <w:lang w:val="vi-VN"/>
              </w:rPr>
              <w:br/>
              <w:t>KT. THỦ TƯỚNG</w:t>
            </w:r>
            <w:r w:rsidRPr="000B4F44">
              <w:rPr>
                <w:rFonts w:eastAsia="Times New Roman" w:cs="Times New Roman"/>
                <w:b/>
                <w:bCs/>
                <w:sz w:val="24"/>
                <w:szCs w:val="24"/>
                <w:lang w:val="vi-VN"/>
              </w:rPr>
              <w:br/>
              <w:t>PHÓ THỦ TƯỚNG</w:t>
            </w:r>
            <w:r w:rsidRPr="000B4F44">
              <w:rPr>
                <w:rFonts w:eastAsia="Times New Roman" w:cs="Times New Roman"/>
                <w:b/>
                <w:bCs/>
                <w:sz w:val="24"/>
                <w:szCs w:val="24"/>
                <w:lang w:val="vi-VN"/>
              </w:rPr>
              <w:br/>
            </w:r>
            <w:r w:rsidRPr="000B4F44">
              <w:rPr>
                <w:rFonts w:eastAsia="Times New Roman" w:cs="Times New Roman"/>
                <w:b/>
                <w:bCs/>
                <w:sz w:val="24"/>
                <w:szCs w:val="24"/>
                <w:lang w:val="vi-VN"/>
              </w:rPr>
              <w:br/>
            </w:r>
            <w:r w:rsidRPr="000B4F44">
              <w:rPr>
                <w:rFonts w:eastAsia="Times New Roman" w:cs="Times New Roman"/>
                <w:b/>
                <w:bCs/>
                <w:sz w:val="24"/>
                <w:szCs w:val="24"/>
                <w:lang w:val="vi-VN"/>
              </w:rPr>
              <w:br/>
            </w:r>
            <w:r w:rsidRPr="000B4F44">
              <w:rPr>
                <w:rFonts w:eastAsia="Times New Roman" w:cs="Times New Roman"/>
                <w:b/>
                <w:bCs/>
                <w:sz w:val="24"/>
                <w:szCs w:val="24"/>
                <w:lang w:val="vi-VN"/>
              </w:rPr>
              <w:br/>
            </w:r>
            <w:r w:rsidRPr="000B4F44">
              <w:rPr>
                <w:rFonts w:eastAsia="Times New Roman" w:cs="Times New Roman"/>
                <w:b/>
                <w:bCs/>
                <w:sz w:val="24"/>
                <w:szCs w:val="24"/>
                <w:lang w:val="vi-VN"/>
              </w:rPr>
              <w:br/>
              <w:t>Lê Văn Thành</w:t>
            </w:r>
          </w:p>
        </w:tc>
      </w:tr>
    </w:tbl>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000000"/>
          <w:sz w:val="24"/>
          <w:szCs w:val="24"/>
        </w:rPr>
        <w:t> </w:t>
      </w:r>
    </w:p>
    <w:p w:rsidR="000B4F44" w:rsidRPr="000B4F44" w:rsidRDefault="000B4F44" w:rsidP="000B4F44">
      <w:pPr>
        <w:shd w:val="clear" w:color="auto" w:fill="FFFFFF"/>
        <w:spacing w:before="0" w:after="0" w:line="234" w:lineRule="atLeast"/>
        <w:jc w:val="center"/>
        <w:rPr>
          <w:rFonts w:eastAsia="Times New Roman" w:cs="Times New Roman"/>
          <w:color w:val="000000"/>
          <w:sz w:val="24"/>
          <w:szCs w:val="24"/>
        </w:rPr>
      </w:pPr>
      <w:bookmarkStart w:id="13" w:name="chuong_pl"/>
      <w:r w:rsidRPr="000B4F44">
        <w:rPr>
          <w:rFonts w:eastAsia="Times New Roman" w:cs="Times New Roman"/>
          <w:b/>
          <w:bCs/>
          <w:color w:val="000000"/>
          <w:sz w:val="24"/>
          <w:szCs w:val="24"/>
          <w:lang w:val="vi-VN"/>
        </w:rPr>
        <w:t>PHỤ LỤC</w:t>
      </w:r>
      <w:bookmarkEnd w:id="13"/>
    </w:p>
    <w:p w:rsidR="000B4F44" w:rsidRPr="000B4F44" w:rsidRDefault="000B4F44" w:rsidP="000B4F44">
      <w:pPr>
        <w:shd w:val="clear" w:color="auto" w:fill="FFFFFF"/>
        <w:spacing w:before="0" w:after="0" w:line="234" w:lineRule="atLeast"/>
        <w:jc w:val="center"/>
        <w:rPr>
          <w:rFonts w:eastAsia="Times New Roman" w:cs="Times New Roman"/>
          <w:color w:val="000000"/>
          <w:sz w:val="24"/>
          <w:szCs w:val="24"/>
        </w:rPr>
      </w:pPr>
      <w:bookmarkStart w:id="14" w:name="chuong_pl_name"/>
      <w:r w:rsidRPr="000B4F44">
        <w:rPr>
          <w:rFonts w:eastAsia="Times New Roman" w:cs="Times New Roman"/>
          <w:color w:val="000000"/>
          <w:sz w:val="24"/>
          <w:szCs w:val="24"/>
          <w:lang w:val="vi-VN"/>
        </w:rPr>
        <w:t>BẢNG TIÊU CHÍ ĐÁNH GIÁ PHÂN LOẠI CẢNG BIỂN</w:t>
      </w:r>
      <w:bookmarkEnd w:id="14"/>
      <w:r w:rsidRPr="000B4F44">
        <w:rPr>
          <w:rFonts w:eastAsia="Times New Roman" w:cs="Times New Roman"/>
          <w:color w:val="000000"/>
          <w:sz w:val="24"/>
          <w:szCs w:val="24"/>
          <w:lang w:val="vi-VN"/>
        </w:rPr>
        <w:br/>
      </w:r>
      <w:r w:rsidRPr="000B4F44">
        <w:rPr>
          <w:rFonts w:eastAsia="Times New Roman" w:cs="Times New Roman"/>
          <w:i/>
          <w:iCs/>
          <w:color w:val="000000"/>
          <w:sz w:val="24"/>
          <w:szCs w:val="24"/>
          <w:lang w:val="vi-VN"/>
        </w:rPr>
        <w:t>(Kèm theo Nghị định số 76/2021/NĐ-CP ngày 28 tháng 7 năm 2021 của Chính phủ)</w:t>
      </w:r>
    </w:p>
    <w:tbl>
      <w:tblPr>
        <w:tblW w:w="5000" w:type="pct"/>
        <w:tblCellSpacing w:w="0" w:type="dxa"/>
        <w:tblCellMar>
          <w:left w:w="0" w:type="dxa"/>
          <w:right w:w="0" w:type="dxa"/>
        </w:tblCellMar>
        <w:tblLook w:val="04A0" w:firstRow="1" w:lastRow="0" w:firstColumn="1" w:lastColumn="0" w:noHBand="0" w:noVBand="1"/>
      </w:tblPr>
      <w:tblGrid>
        <w:gridCol w:w="552"/>
        <w:gridCol w:w="6810"/>
        <w:gridCol w:w="1750"/>
      </w:tblGrid>
      <w:tr w:rsidR="000B4F44" w:rsidRPr="000B4F44" w:rsidTr="000B4F44">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sz w:val="24"/>
                <w:szCs w:val="24"/>
                <w:lang w:val="vi-VN"/>
              </w:rPr>
              <w:t>TT</w:t>
            </w:r>
          </w:p>
        </w:tc>
        <w:tc>
          <w:tcPr>
            <w:tcW w:w="3700" w:type="pct"/>
            <w:tcBorders>
              <w:top w:val="single" w:sz="8" w:space="0" w:color="auto"/>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Tiêu chí đánh giá phân loại cảng biển</w:t>
            </w:r>
          </w:p>
        </w:tc>
        <w:tc>
          <w:tcPr>
            <w:tcW w:w="950" w:type="pct"/>
            <w:tcBorders>
              <w:top w:val="single" w:sz="8" w:space="0" w:color="auto"/>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Điểm chấm</w:t>
            </w:r>
            <w:r w:rsidRPr="000B4F44">
              <w:rPr>
                <w:rFonts w:eastAsia="Times New Roman" w:cs="Times New Roman"/>
                <w:b/>
                <w:bCs/>
                <w:color w:val="000000"/>
                <w:sz w:val="24"/>
                <w:szCs w:val="24"/>
                <w:lang w:val="vi-VN"/>
              </w:rPr>
              <w:br/>
              <w:t>(tối đa)</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A</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Phạm vi ảnh hưởng của cảng biển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50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Phục vụ phát triển kinh tế - xã hội cả nước, hoặc liên vùng và có chức năng trung chuyển quốc tế hoặc cửa ngõ quốc tế</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50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Phục vụ phát triển kinh tế - xã hội của cả nước hoặc liên vùng</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40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Phục vụ phát triển kinh tế - xã hội của vùng</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30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Phục vụ phát triển kinh tế - xã hội của địa phương</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20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lastRenderedPageBreak/>
              <w:t>B</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Quy mô cảng biển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50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I</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Lượng hàng hóa thông qua cảng biển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30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1</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Hàng khô, tổng hợp thông qua cảng biển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12</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Trên 04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12</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Từ 02 đến 04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10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Từ 01 đến dưới 02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8</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Dưới 01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6</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2</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Hàng container thông qua cảng biển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10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Trên 04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10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Từ 02 đến 04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8</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Từ 01 đến dưới 02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6</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Dưới 01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4</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3</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Hàng lỏng thông qua cảng biển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8</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Trên 02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8</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Từ 01 đến 02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6</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Từ 0,5 đến dưới 01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4</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Dưới 0,5 triệu Tấn/năm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2</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II</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Cỡ trọng tải tàu tiếp nhận tại cảng biển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20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1</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Cảng biển có bến cảng tổng hợp, container phục vụ thương mại</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10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từ 70.000 DWT trở lên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10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từ 30.000 DWT đến dưới 70.000 DWT</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8</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từ 10.000 DWT đến dưới 30.000 DWT</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6</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dưới 10.000 DWT</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4</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2</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Cảng biển có bến cảng chuyên dùng</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10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từ 70.000 DWT trở lên</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10</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từ 30.000 DWT đến dưới 70.000 DWT</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8</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từ 10.000 DWT đến dưới 30.000 DWT</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6</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lastRenderedPageBreak/>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color w:val="000000"/>
                <w:sz w:val="24"/>
                <w:szCs w:val="24"/>
                <w:lang w:val="vi-VN"/>
              </w:rPr>
              <w:t>Tiếp nhận cỡ trọng tải tàu dưới 10.000 DWT</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4</w:t>
            </w:r>
          </w:p>
        </w:tc>
      </w:tr>
      <w:tr w:rsidR="000B4F44" w:rsidRPr="000B4F44" w:rsidTr="000B4F44">
        <w:trPr>
          <w:tblCellSpacing w:w="0" w:type="dxa"/>
        </w:trPr>
        <w:tc>
          <w:tcPr>
            <w:tcW w:w="300" w:type="pct"/>
            <w:tcBorders>
              <w:top w:val="nil"/>
              <w:left w:val="single" w:sz="8" w:space="0" w:color="auto"/>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color w:val="000000"/>
                <w:sz w:val="24"/>
                <w:szCs w:val="24"/>
                <w:lang w:val="vi-VN"/>
              </w:rPr>
              <w:t> </w:t>
            </w:r>
          </w:p>
        </w:tc>
        <w:tc>
          <w:tcPr>
            <w:tcW w:w="370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rPr>
                <w:rFonts w:eastAsia="Times New Roman" w:cs="Times New Roman"/>
                <w:sz w:val="24"/>
                <w:szCs w:val="24"/>
              </w:rPr>
            </w:pPr>
            <w:r w:rsidRPr="000B4F44">
              <w:rPr>
                <w:rFonts w:eastAsia="Times New Roman" w:cs="Times New Roman"/>
                <w:b/>
                <w:bCs/>
                <w:color w:val="000000"/>
                <w:sz w:val="24"/>
                <w:szCs w:val="24"/>
                <w:lang w:val="vi-VN"/>
              </w:rPr>
              <w:t>Tổng điểm</w:t>
            </w:r>
          </w:p>
        </w:tc>
        <w:tc>
          <w:tcPr>
            <w:tcW w:w="950" w:type="pct"/>
            <w:tcBorders>
              <w:top w:val="nil"/>
              <w:left w:val="nil"/>
              <w:bottom w:val="single" w:sz="8" w:space="0" w:color="auto"/>
              <w:right w:val="single" w:sz="8" w:space="0" w:color="auto"/>
            </w:tcBorders>
            <w:vAlign w:val="center"/>
            <w:hideMark/>
          </w:tcPr>
          <w:p w:rsidR="000B4F44" w:rsidRPr="000B4F44" w:rsidRDefault="000B4F44" w:rsidP="000B4F44">
            <w:pPr>
              <w:spacing w:line="234" w:lineRule="atLeast"/>
              <w:jc w:val="center"/>
              <w:rPr>
                <w:rFonts w:eastAsia="Times New Roman" w:cs="Times New Roman"/>
                <w:sz w:val="24"/>
                <w:szCs w:val="24"/>
              </w:rPr>
            </w:pPr>
            <w:r w:rsidRPr="000B4F44">
              <w:rPr>
                <w:rFonts w:eastAsia="Times New Roman" w:cs="Times New Roman"/>
                <w:b/>
                <w:bCs/>
                <w:color w:val="000000"/>
                <w:sz w:val="24"/>
                <w:szCs w:val="24"/>
                <w:lang w:val="vi-VN"/>
              </w:rPr>
              <w:t>100</w:t>
            </w:r>
          </w:p>
        </w:tc>
      </w:tr>
    </w:tbl>
    <w:p w:rsidR="000B4F44" w:rsidRPr="000B4F44" w:rsidRDefault="000B4F44" w:rsidP="000B4F44">
      <w:pPr>
        <w:shd w:val="clear" w:color="auto" w:fill="FFFFFF"/>
        <w:spacing w:line="234" w:lineRule="atLeast"/>
        <w:rPr>
          <w:rFonts w:eastAsia="Times New Roman" w:cs="Times New Roman"/>
          <w:color w:val="000000"/>
          <w:sz w:val="24"/>
          <w:szCs w:val="24"/>
        </w:rPr>
      </w:pPr>
      <w:r w:rsidRPr="000B4F44">
        <w:rPr>
          <w:rFonts w:eastAsia="Times New Roman" w:cs="Times New Roman"/>
          <w:color w:val="FFFFFF"/>
          <w:sz w:val="24"/>
          <w:szCs w:val="24"/>
        </w:rPr>
        <w:t> </w:t>
      </w:r>
    </w:p>
    <w:p w:rsidR="00D23558" w:rsidRPr="000B4F44" w:rsidRDefault="00D23558">
      <w:pPr>
        <w:rPr>
          <w:rFonts w:cs="Times New Roman"/>
          <w:sz w:val="24"/>
          <w:szCs w:val="24"/>
        </w:rPr>
      </w:pPr>
    </w:p>
    <w:sectPr w:rsidR="00D23558" w:rsidRPr="000B4F44" w:rsidSect="00952A93">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3E"/>
    <w:multiLevelType w:val="multilevel"/>
    <w:tmpl w:val="3742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751BF"/>
    <w:multiLevelType w:val="multilevel"/>
    <w:tmpl w:val="C156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95F26"/>
    <w:multiLevelType w:val="multilevel"/>
    <w:tmpl w:val="015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44"/>
    <w:rsid w:val="000B4F44"/>
    <w:rsid w:val="00952A93"/>
    <w:rsid w:val="00AE7904"/>
    <w:rsid w:val="00D23558"/>
    <w:rsid w:val="00D8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F4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F4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33750">
      <w:bodyDiv w:val="1"/>
      <w:marLeft w:val="0"/>
      <w:marRight w:val="0"/>
      <w:marTop w:val="0"/>
      <w:marBottom w:val="0"/>
      <w:divBdr>
        <w:top w:val="none" w:sz="0" w:space="0" w:color="auto"/>
        <w:left w:val="none" w:sz="0" w:space="0" w:color="auto"/>
        <w:bottom w:val="none" w:sz="0" w:space="0" w:color="auto"/>
        <w:right w:val="none" w:sz="0" w:space="0" w:color="auto"/>
      </w:divBdr>
      <w:divsChild>
        <w:div w:id="1690521673">
          <w:marLeft w:val="0"/>
          <w:marRight w:val="0"/>
          <w:marTop w:val="0"/>
          <w:marBottom w:val="0"/>
          <w:divBdr>
            <w:top w:val="none" w:sz="0" w:space="0" w:color="auto"/>
            <w:left w:val="none" w:sz="0" w:space="0" w:color="auto"/>
            <w:bottom w:val="none" w:sz="0" w:space="0" w:color="auto"/>
            <w:right w:val="none" w:sz="0" w:space="0" w:color="auto"/>
          </w:divBdr>
          <w:divsChild>
            <w:div w:id="1330988993">
              <w:marLeft w:val="0"/>
              <w:marRight w:val="0"/>
              <w:marTop w:val="0"/>
              <w:marBottom w:val="0"/>
              <w:divBdr>
                <w:top w:val="single" w:sz="12" w:space="0" w:color="F89B1A"/>
                <w:left w:val="single" w:sz="6" w:space="0" w:color="C8D4DB"/>
                <w:bottom w:val="none" w:sz="0" w:space="0" w:color="auto"/>
                <w:right w:val="single" w:sz="6" w:space="0" w:color="C8D4DB"/>
              </w:divBdr>
              <w:divsChild>
                <w:div w:id="171453505">
                  <w:marLeft w:val="0"/>
                  <w:marRight w:val="0"/>
                  <w:marTop w:val="0"/>
                  <w:marBottom w:val="0"/>
                  <w:divBdr>
                    <w:top w:val="none" w:sz="0" w:space="0" w:color="auto"/>
                    <w:left w:val="none" w:sz="0" w:space="0" w:color="auto"/>
                    <w:bottom w:val="none" w:sz="0" w:space="0" w:color="auto"/>
                    <w:right w:val="none" w:sz="0" w:space="0" w:color="auto"/>
                  </w:divBdr>
                  <w:divsChild>
                    <w:div w:id="55324429">
                      <w:marLeft w:val="0"/>
                      <w:marRight w:val="0"/>
                      <w:marTop w:val="0"/>
                      <w:marBottom w:val="0"/>
                      <w:divBdr>
                        <w:top w:val="none" w:sz="0" w:space="0" w:color="auto"/>
                        <w:left w:val="none" w:sz="0" w:space="0" w:color="auto"/>
                        <w:bottom w:val="none" w:sz="0" w:space="0" w:color="auto"/>
                        <w:right w:val="none" w:sz="0" w:space="0" w:color="auto"/>
                      </w:divBdr>
                      <w:divsChild>
                        <w:div w:id="2135519440">
                          <w:marLeft w:val="0"/>
                          <w:marRight w:val="225"/>
                          <w:marTop w:val="0"/>
                          <w:marBottom w:val="0"/>
                          <w:divBdr>
                            <w:top w:val="none" w:sz="0" w:space="0" w:color="auto"/>
                            <w:left w:val="none" w:sz="0" w:space="0" w:color="auto"/>
                            <w:bottom w:val="none" w:sz="0" w:space="0" w:color="auto"/>
                            <w:right w:val="none" w:sz="0" w:space="0" w:color="auto"/>
                          </w:divBdr>
                          <w:divsChild>
                            <w:div w:id="860556232">
                              <w:marLeft w:val="0"/>
                              <w:marRight w:val="0"/>
                              <w:marTop w:val="0"/>
                              <w:marBottom w:val="0"/>
                              <w:divBdr>
                                <w:top w:val="none" w:sz="0" w:space="0" w:color="auto"/>
                                <w:left w:val="none" w:sz="0" w:space="0" w:color="auto"/>
                                <w:bottom w:val="none" w:sz="0" w:space="0" w:color="auto"/>
                                <w:right w:val="none" w:sz="0" w:space="0" w:color="auto"/>
                              </w:divBdr>
                              <w:divsChild>
                                <w:div w:id="385178245">
                                  <w:marLeft w:val="0"/>
                                  <w:marRight w:val="0"/>
                                  <w:marTop w:val="0"/>
                                  <w:marBottom w:val="0"/>
                                  <w:divBdr>
                                    <w:top w:val="none" w:sz="0" w:space="0" w:color="auto"/>
                                    <w:left w:val="none" w:sz="0" w:space="0" w:color="auto"/>
                                    <w:bottom w:val="none" w:sz="0" w:space="0" w:color="auto"/>
                                    <w:right w:val="none" w:sz="0" w:space="0" w:color="auto"/>
                                  </w:divBdr>
                                  <w:divsChild>
                                    <w:div w:id="20360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1752">
                          <w:marLeft w:val="0"/>
                          <w:marRight w:val="0"/>
                          <w:marTop w:val="150"/>
                          <w:marBottom w:val="0"/>
                          <w:divBdr>
                            <w:top w:val="none" w:sz="0" w:space="0" w:color="auto"/>
                            <w:left w:val="none" w:sz="0" w:space="0" w:color="auto"/>
                            <w:bottom w:val="none" w:sz="0" w:space="0" w:color="auto"/>
                            <w:right w:val="none" w:sz="0" w:space="0" w:color="auto"/>
                          </w:divBdr>
                          <w:divsChild>
                            <w:div w:id="1571161524">
                              <w:marLeft w:val="0"/>
                              <w:marRight w:val="0"/>
                              <w:marTop w:val="0"/>
                              <w:marBottom w:val="0"/>
                              <w:divBdr>
                                <w:top w:val="single" w:sz="2" w:space="0" w:color="BDC8D5"/>
                                <w:left w:val="single" w:sz="2" w:space="0" w:color="BDC8D5"/>
                                <w:bottom w:val="single" w:sz="2" w:space="8" w:color="BDC8D5"/>
                                <w:right w:val="single" w:sz="2" w:space="0" w:color="BDC8D5"/>
                              </w:divBdr>
                              <w:divsChild>
                                <w:div w:id="23557098">
                                  <w:marLeft w:val="0"/>
                                  <w:marRight w:val="0"/>
                                  <w:marTop w:val="0"/>
                                  <w:marBottom w:val="0"/>
                                  <w:divBdr>
                                    <w:top w:val="none" w:sz="0" w:space="0" w:color="auto"/>
                                    <w:left w:val="none" w:sz="0" w:space="0" w:color="auto"/>
                                    <w:bottom w:val="none" w:sz="0" w:space="0" w:color="auto"/>
                                    <w:right w:val="none" w:sz="0" w:space="0" w:color="auto"/>
                                  </w:divBdr>
                                </w:div>
                                <w:div w:id="220099217">
                                  <w:marLeft w:val="0"/>
                                  <w:marRight w:val="0"/>
                                  <w:marTop w:val="0"/>
                                  <w:marBottom w:val="0"/>
                                  <w:divBdr>
                                    <w:top w:val="none" w:sz="0" w:space="0" w:color="auto"/>
                                    <w:left w:val="none" w:sz="0" w:space="0" w:color="auto"/>
                                    <w:bottom w:val="none" w:sz="0" w:space="0" w:color="auto"/>
                                    <w:right w:val="none" w:sz="0" w:space="0" w:color="auto"/>
                                  </w:divBdr>
                                </w:div>
                                <w:div w:id="16535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quyet-dinh-70-2013-qd-ttg-danh-muc-phan-loai-cang-bien-viet-nam-214162.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Cang Vu TH</dc:creator>
  <cp:lastModifiedBy>Cang Vu TH</cp:lastModifiedBy>
  <cp:revision>1</cp:revision>
  <dcterms:created xsi:type="dcterms:W3CDTF">2021-09-08T03:10:00Z</dcterms:created>
  <dcterms:modified xsi:type="dcterms:W3CDTF">2021-09-08T03:22:00Z</dcterms:modified>
</cp:coreProperties>
</file>